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F13D48" w:rsidRDefault="0036353B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特定</w:t>
      </w:r>
      <w:r w:rsidR="00F13D48" w:rsidRPr="00F13D48">
        <w:rPr>
          <w:rFonts w:hint="eastAsia"/>
          <w:b/>
          <w:bCs/>
          <w:sz w:val="28"/>
          <w:szCs w:val="28"/>
          <w:u w:val="single"/>
        </w:rPr>
        <w:t>液化石油ガス</w:t>
      </w:r>
      <w:r w:rsidR="000D50F2">
        <w:rPr>
          <w:rFonts w:hint="eastAsia"/>
          <w:b/>
          <w:bCs/>
          <w:sz w:val="28"/>
          <w:szCs w:val="28"/>
          <w:u w:val="single"/>
        </w:rPr>
        <w:t>設備工事</w:t>
      </w:r>
      <w:r>
        <w:rPr>
          <w:rFonts w:hint="eastAsia"/>
          <w:b/>
          <w:bCs/>
          <w:sz w:val="28"/>
          <w:szCs w:val="28"/>
          <w:u w:val="single"/>
        </w:rPr>
        <w:t>事業開始</w:t>
      </w:r>
      <w:r w:rsidR="00DE1F7E">
        <w:rPr>
          <w:rFonts w:hint="eastAsia"/>
          <w:b/>
          <w:bCs/>
          <w:sz w:val="28"/>
          <w:szCs w:val="28"/>
          <w:u w:val="single"/>
        </w:rPr>
        <w:t>（廃止）</w:t>
      </w:r>
      <w:r>
        <w:rPr>
          <w:rFonts w:hint="eastAsia"/>
          <w:b/>
          <w:bCs/>
          <w:sz w:val="28"/>
          <w:szCs w:val="28"/>
          <w:u w:val="single"/>
        </w:rPr>
        <w:t>届</w:t>
      </w:r>
    </w:p>
    <w:p w:rsidR="00DE1F7E" w:rsidRDefault="00DE1F7E">
      <w:pPr>
        <w:rPr>
          <w:rFonts w:cs="Times New Roman"/>
        </w:rPr>
      </w:pPr>
    </w:p>
    <w:p w:rsidR="00DE1F7E" w:rsidRDefault="00DE1F7E">
      <w:pPr>
        <w:rPr>
          <w:rFonts w:cs="Times New Roman"/>
          <w:b/>
        </w:rPr>
      </w:pPr>
      <w:r>
        <w:rPr>
          <w:rFonts w:cs="Times New Roman" w:hint="eastAsia"/>
          <w:b/>
        </w:rPr>
        <w:t>「</w:t>
      </w:r>
      <w:r w:rsidR="00046F11">
        <w:rPr>
          <w:rFonts w:cs="Times New Roman" w:hint="eastAsia"/>
          <w:b/>
        </w:rPr>
        <w:t>事業開始届</w:t>
      </w:r>
      <w:r>
        <w:rPr>
          <w:rFonts w:cs="Times New Roman" w:hint="eastAsia"/>
          <w:b/>
        </w:rPr>
        <w:t>」</w:t>
      </w:r>
    </w:p>
    <w:p w:rsidR="00DE1F7E" w:rsidRPr="00DE1F7E" w:rsidRDefault="00DE1F7E">
      <w:pPr>
        <w:rPr>
          <w:rFonts w:cs="Times New Roman"/>
          <w:b/>
        </w:rPr>
      </w:pPr>
    </w:p>
    <w:p w:rsidR="00074C41" w:rsidRDefault="00633564" w:rsidP="00633564">
      <w:pPr>
        <w:ind w:left="1440" w:hangingChars="600" w:hanging="1440"/>
        <w:rPr>
          <w:rFonts w:cs="Times New Roman"/>
        </w:rPr>
      </w:pPr>
      <w:r>
        <w:rPr>
          <w:rFonts w:hint="eastAsia"/>
        </w:rPr>
        <w:t>関係法令等　法第３８条の１０第１項、法第３８条の１１～１３、規則第１１１条～１１３条、第１１５条～１２０条ほか</w:t>
      </w:r>
    </w:p>
    <w:p w:rsidR="00DC7036" w:rsidRPr="00DE1F7E" w:rsidRDefault="00DC7036">
      <w:pPr>
        <w:rPr>
          <w:rFonts w:cs="Times New Roman"/>
        </w:rPr>
      </w:pPr>
    </w:p>
    <w:p w:rsidR="000D50F2" w:rsidRDefault="0018584C" w:rsidP="0018584C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36353B">
        <w:rPr>
          <w:rFonts w:hint="eastAsia"/>
        </w:rPr>
        <w:t>硬質管相互の接続工事、硬質管と気化装置、調整器、ガスメーター、自動ガス遮断器、バ</w:t>
      </w:r>
      <w:r w:rsidR="00E75FA9">
        <w:rPr>
          <w:rFonts w:hint="eastAsia"/>
        </w:rPr>
        <w:t>ルブ、ガス栓との接続工事の事業を行う者は、事業所</w:t>
      </w:r>
      <w:r w:rsidR="00B0006D">
        <w:rPr>
          <w:rFonts w:hint="eastAsia"/>
        </w:rPr>
        <w:t>ごと</w:t>
      </w:r>
      <w:r w:rsidR="00E75FA9">
        <w:rPr>
          <w:rFonts w:hint="eastAsia"/>
        </w:rPr>
        <w:t>に事業開始の日</w:t>
      </w:r>
      <w:r w:rsidR="0036353B">
        <w:rPr>
          <w:rFonts w:hint="eastAsia"/>
        </w:rPr>
        <w:t>から</w:t>
      </w:r>
      <w:r>
        <w:rPr>
          <w:rFonts w:hint="eastAsia"/>
        </w:rPr>
        <w:t>３０</w:t>
      </w:r>
      <w:r w:rsidR="0036353B">
        <w:rPr>
          <w:rFonts w:hint="eastAsia"/>
        </w:rPr>
        <w:t>日以内に事業所の所在地を管轄する</w:t>
      </w:r>
      <w:r w:rsidR="00B0006D">
        <w:rPr>
          <w:rFonts w:hint="eastAsia"/>
        </w:rPr>
        <w:t>広域</w:t>
      </w:r>
      <w:r w:rsidR="0036353B">
        <w:rPr>
          <w:rFonts w:hint="eastAsia"/>
        </w:rPr>
        <w:t>振興局</w:t>
      </w:r>
      <w:r w:rsidR="00B0006D">
        <w:rPr>
          <w:rFonts w:hint="eastAsia"/>
        </w:rPr>
        <w:t>等</w:t>
      </w:r>
      <w:r w:rsidR="0036353B">
        <w:rPr>
          <w:rFonts w:hint="eastAsia"/>
        </w:rPr>
        <w:t>に届け出なければなりません。</w:t>
      </w:r>
    </w:p>
    <w:p w:rsidR="00372BB2" w:rsidRDefault="00B0006D" w:rsidP="0018584C">
      <w:pPr>
        <w:spacing w:beforeLines="100" w:before="240"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293BEB">
        <w:rPr>
          <w:rFonts w:hint="eastAsia"/>
        </w:rPr>
        <w:t>「</w:t>
      </w:r>
      <w:r w:rsidR="000D50F2">
        <w:rPr>
          <w:rFonts w:hint="eastAsia"/>
        </w:rPr>
        <w:t>工事</w:t>
      </w:r>
      <w:r w:rsidR="00293BEB">
        <w:rPr>
          <w:rFonts w:hint="eastAsia"/>
        </w:rPr>
        <w:t>事業者」</w:t>
      </w:r>
      <w:r w:rsidR="00523BA3">
        <w:rPr>
          <w:rFonts w:hint="eastAsia"/>
        </w:rPr>
        <w:t>とは、</w:t>
      </w:r>
      <w:r w:rsidR="00293BEB">
        <w:rPr>
          <w:rFonts w:hint="eastAsia"/>
        </w:rPr>
        <w:t>施工を実際に行う者のみをいい、工事を受注し、それを他の工事事業者等に発注する者は含</w:t>
      </w:r>
      <w:r>
        <w:rPr>
          <w:rFonts w:hint="eastAsia"/>
        </w:rPr>
        <w:t>まれません</w:t>
      </w:r>
      <w:r w:rsidR="00293BEB">
        <w:rPr>
          <w:rFonts w:hint="eastAsia"/>
        </w:rPr>
        <w:t>。</w:t>
      </w:r>
    </w:p>
    <w:p w:rsidR="00523BA3" w:rsidRDefault="00B0006D" w:rsidP="00B0006D">
      <w:pPr>
        <w:spacing w:beforeLines="100" w:before="240"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293BEB">
        <w:rPr>
          <w:rFonts w:hint="eastAsia"/>
        </w:rPr>
        <w:t>「工事事業者」は、自記圧力計等を備えること。</w:t>
      </w:r>
    </w:p>
    <w:p w:rsidR="00DC3247" w:rsidRPr="0062433D" w:rsidRDefault="00DC3247" w:rsidP="00FA04B2">
      <w:pPr>
        <w:spacing w:beforeLines="50" w:before="120" w:line="360" w:lineRule="atLeast"/>
        <w:rPr>
          <w:rFonts w:cs="Times New Roman"/>
        </w:rPr>
      </w:pPr>
    </w:p>
    <w:p w:rsidR="00293BEB" w:rsidRPr="00633564" w:rsidRDefault="00B0006D" w:rsidP="00633564">
      <w:pPr>
        <w:spacing w:line="360" w:lineRule="atLeast"/>
        <w:ind w:left="3149" w:hangingChars="1312" w:hanging="3149"/>
      </w:pPr>
      <w:r>
        <w:rPr>
          <w:rFonts w:hint="eastAsia"/>
        </w:rPr>
        <w:t xml:space="preserve">◎　</w:t>
      </w:r>
      <w:r w:rsidR="00074C41">
        <w:rPr>
          <w:rFonts w:hint="eastAsia"/>
        </w:rPr>
        <w:t>必要書類</w:t>
      </w:r>
    </w:p>
    <w:p w:rsidR="00074C41" w:rsidRDefault="0018584C" w:rsidP="0018584C">
      <w:pPr>
        <w:spacing w:line="440" w:lineRule="atLeast"/>
        <w:ind w:firstLineChars="100" w:firstLine="240"/>
        <w:rPr>
          <w:rFonts w:cs="Times New Roman"/>
        </w:rPr>
      </w:pPr>
      <w:r>
        <w:rPr>
          <w:rFonts w:hint="eastAsia"/>
        </w:rPr>
        <w:t>１　特</w:t>
      </w:r>
      <w:r w:rsidR="0036353B">
        <w:rPr>
          <w:rFonts w:hint="eastAsia"/>
        </w:rPr>
        <w:t>定</w:t>
      </w:r>
      <w:r w:rsidR="00074C41">
        <w:rPr>
          <w:rFonts w:hint="eastAsia"/>
        </w:rPr>
        <w:t>液化石油ガス</w:t>
      </w:r>
      <w:r w:rsidR="00EA1F4E">
        <w:rPr>
          <w:rFonts w:hint="eastAsia"/>
        </w:rPr>
        <w:t>設備工事</w:t>
      </w:r>
      <w:r w:rsidR="0036353B">
        <w:rPr>
          <w:rFonts w:hint="eastAsia"/>
        </w:rPr>
        <w:t>事業開始</w:t>
      </w:r>
      <w:r w:rsidR="002E0171">
        <w:rPr>
          <w:rFonts w:hint="eastAsia"/>
        </w:rPr>
        <w:t>届書（様式第</w:t>
      </w:r>
      <w:r w:rsidR="00633564">
        <w:rPr>
          <w:rFonts w:hint="eastAsia"/>
        </w:rPr>
        <w:t>５６</w:t>
      </w:r>
      <w:r w:rsidR="008D0910">
        <w:rPr>
          <w:rFonts w:hint="eastAsia"/>
        </w:rPr>
        <w:t>）</w:t>
      </w:r>
    </w:p>
    <w:p w:rsidR="00842CEF" w:rsidRDefault="0018584C" w:rsidP="0018584C">
      <w:pPr>
        <w:spacing w:line="440" w:lineRule="atLeast"/>
        <w:ind w:firstLineChars="100" w:firstLine="240"/>
      </w:pPr>
      <w:r>
        <w:rPr>
          <w:rFonts w:hint="eastAsia"/>
        </w:rPr>
        <w:t xml:space="preserve">２　</w:t>
      </w:r>
      <w:r w:rsidR="0036353B">
        <w:rPr>
          <w:rFonts w:hint="eastAsia"/>
        </w:rPr>
        <w:t>設備士免状の写し</w:t>
      </w:r>
    </w:p>
    <w:p w:rsidR="00DE1F7E" w:rsidRDefault="00DE1F7E" w:rsidP="0018584C">
      <w:pPr>
        <w:spacing w:line="440" w:lineRule="atLeast"/>
        <w:ind w:firstLineChars="100" w:firstLine="240"/>
        <w:rPr>
          <w:rFonts w:cs="Times New Roman"/>
        </w:rPr>
      </w:pPr>
    </w:p>
    <w:p w:rsidR="00DE1F7E" w:rsidRDefault="00DE1F7E" w:rsidP="00DE1F7E">
      <w:pPr>
        <w:spacing w:line="440" w:lineRule="atLeast"/>
        <w:rPr>
          <w:rFonts w:cs="Times New Roman"/>
          <w:b/>
        </w:rPr>
      </w:pPr>
      <w:r>
        <w:rPr>
          <w:rFonts w:cs="Times New Roman" w:hint="eastAsia"/>
          <w:b/>
        </w:rPr>
        <w:t>「</w:t>
      </w:r>
      <w:r w:rsidRPr="00DE1F7E">
        <w:rPr>
          <w:rFonts w:cs="Times New Roman" w:hint="eastAsia"/>
          <w:b/>
        </w:rPr>
        <w:t>事業廃止</w:t>
      </w:r>
      <w:r w:rsidR="00046F11">
        <w:rPr>
          <w:rFonts w:cs="Times New Roman" w:hint="eastAsia"/>
          <w:b/>
        </w:rPr>
        <w:t>届</w:t>
      </w:r>
      <w:r>
        <w:rPr>
          <w:rFonts w:cs="Times New Roman" w:hint="eastAsia"/>
          <w:b/>
        </w:rPr>
        <w:t>」</w:t>
      </w:r>
    </w:p>
    <w:p w:rsidR="00DE1F7E" w:rsidRPr="00DE1F7E" w:rsidRDefault="00DE1F7E" w:rsidP="00DE1F7E">
      <w:pPr>
        <w:spacing w:line="440" w:lineRule="atLeast"/>
        <w:rPr>
          <w:rFonts w:cs="Times New Roman"/>
          <w:b/>
        </w:rPr>
      </w:pPr>
    </w:p>
    <w:p w:rsidR="00DE1F7E" w:rsidRPr="00B06F4D" w:rsidRDefault="00DE1F7E" w:rsidP="00DE1F7E">
      <w:pPr>
        <w:rPr>
          <w:rFonts w:cs="Times New Roman"/>
        </w:rPr>
      </w:pPr>
      <w:r>
        <w:rPr>
          <w:rFonts w:hint="eastAsia"/>
        </w:rPr>
        <w:t>関係法令等　法第３８条の１０第２項、規則第１１４条ほか</w:t>
      </w:r>
    </w:p>
    <w:p w:rsidR="00DE1F7E" w:rsidRDefault="00DE1F7E" w:rsidP="00DE1F7E">
      <w:pPr>
        <w:spacing w:beforeLines="100" w:before="240"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>◎　特定液化石油ガス設備工事事業者は、事業を廃止したときは、遅滞なく届出をした広域振興局等に届け出なければなりません。</w:t>
      </w:r>
    </w:p>
    <w:p w:rsidR="00DE1F7E" w:rsidRPr="0062433D" w:rsidRDefault="00DE1F7E" w:rsidP="00DE1F7E">
      <w:pPr>
        <w:spacing w:beforeLines="50" w:before="120" w:line="360" w:lineRule="atLeast"/>
        <w:rPr>
          <w:rFonts w:cs="Times New Roman"/>
        </w:rPr>
      </w:pPr>
    </w:p>
    <w:p w:rsidR="00DE1F7E" w:rsidRPr="004C1071" w:rsidRDefault="00DE1F7E" w:rsidP="00DE1F7E">
      <w:pPr>
        <w:spacing w:line="360" w:lineRule="atLeast"/>
        <w:rPr>
          <w:rFonts w:cs="Times New Roman"/>
        </w:rPr>
      </w:pPr>
      <w:r>
        <w:rPr>
          <w:rFonts w:hint="eastAsia"/>
        </w:rPr>
        <w:t>◎　必要書類</w:t>
      </w:r>
    </w:p>
    <w:p w:rsidR="00293BEB" w:rsidRPr="00372BB2" w:rsidRDefault="00046F11" w:rsidP="00DE1F7E">
      <w:pPr>
        <w:spacing w:beforeLines="50" w:before="120" w:line="360" w:lineRule="atLeast"/>
        <w:rPr>
          <w:rFonts w:cs="Times New Roman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DE1F7E">
        <w:rPr>
          <w:rFonts w:hint="eastAsia"/>
        </w:rPr>
        <w:t>特定液化石油ガス設備工事事業廃止届書（様式第５８）</w:t>
      </w:r>
    </w:p>
    <w:sectPr w:rsidR="00293BEB" w:rsidRPr="00372BB2" w:rsidSect="00127750">
      <w:pgSz w:w="12240" w:h="15840" w:code="1"/>
      <w:pgMar w:top="17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B7" w:rsidRDefault="00A36DB7" w:rsidP="00DE1F7E">
      <w:r>
        <w:separator/>
      </w:r>
    </w:p>
  </w:endnote>
  <w:endnote w:type="continuationSeparator" w:id="0">
    <w:p w:rsidR="00A36DB7" w:rsidRDefault="00A36DB7" w:rsidP="00DE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B7" w:rsidRDefault="00A36DB7" w:rsidP="00DE1F7E">
      <w:r>
        <w:separator/>
      </w:r>
    </w:p>
  </w:footnote>
  <w:footnote w:type="continuationSeparator" w:id="0">
    <w:p w:rsidR="00A36DB7" w:rsidRDefault="00A36DB7" w:rsidP="00DE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017"/>
    <w:multiLevelType w:val="hybridMultilevel"/>
    <w:tmpl w:val="2CE24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AA0855"/>
    <w:multiLevelType w:val="hybridMultilevel"/>
    <w:tmpl w:val="1F86A126"/>
    <w:lvl w:ilvl="0" w:tplc="767606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169BA"/>
    <w:rsid w:val="00046F11"/>
    <w:rsid w:val="00074C41"/>
    <w:rsid w:val="000D50F2"/>
    <w:rsid w:val="000F5AC7"/>
    <w:rsid w:val="0010322D"/>
    <w:rsid w:val="00103CD0"/>
    <w:rsid w:val="00127750"/>
    <w:rsid w:val="00141625"/>
    <w:rsid w:val="0018584C"/>
    <w:rsid w:val="001D4E9B"/>
    <w:rsid w:val="002822C0"/>
    <w:rsid w:val="00293BEB"/>
    <w:rsid w:val="002E0171"/>
    <w:rsid w:val="0036353B"/>
    <w:rsid w:val="00372BB2"/>
    <w:rsid w:val="003828B6"/>
    <w:rsid w:val="003A49E9"/>
    <w:rsid w:val="003B3116"/>
    <w:rsid w:val="00496039"/>
    <w:rsid w:val="004B6681"/>
    <w:rsid w:val="004E5AAC"/>
    <w:rsid w:val="00523BA3"/>
    <w:rsid w:val="00564010"/>
    <w:rsid w:val="0058725B"/>
    <w:rsid w:val="0060605B"/>
    <w:rsid w:val="00614A3B"/>
    <w:rsid w:val="00622587"/>
    <w:rsid w:val="0062433D"/>
    <w:rsid w:val="00633564"/>
    <w:rsid w:val="00665DC7"/>
    <w:rsid w:val="006A3BB2"/>
    <w:rsid w:val="006B1AEA"/>
    <w:rsid w:val="006F2920"/>
    <w:rsid w:val="00842CEF"/>
    <w:rsid w:val="00847316"/>
    <w:rsid w:val="008D0910"/>
    <w:rsid w:val="008F638D"/>
    <w:rsid w:val="00947327"/>
    <w:rsid w:val="009C2528"/>
    <w:rsid w:val="009D1A3C"/>
    <w:rsid w:val="00A36DB7"/>
    <w:rsid w:val="00A738A9"/>
    <w:rsid w:val="00B0006D"/>
    <w:rsid w:val="00B12A03"/>
    <w:rsid w:val="00B465E3"/>
    <w:rsid w:val="00B80875"/>
    <w:rsid w:val="00BA72E3"/>
    <w:rsid w:val="00C97269"/>
    <w:rsid w:val="00D642CB"/>
    <w:rsid w:val="00DC3247"/>
    <w:rsid w:val="00DC7036"/>
    <w:rsid w:val="00DE1F7E"/>
    <w:rsid w:val="00E75FA9"/>
    <w:rsid w:val="00EA1F4E"/>
    <w:rsid w:val="00EB6576"/>
    <w:rsid w:val="00EB71CB"/>
    <w:rsid w:val="00F13D48"/>
    <w:rsid w:val="00F8527C"/>
    <w:rsid w:val="00F85673"/>
    <w:rsid w:val="00FA04B2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962D4-06E8-495A-9524-1F498D78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F7E"/>
    <w:rPr>
      <w:rFonts w:ascii="ＭＳ 明朝" w:hAns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F7E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注意事項</vt:lpstr>
    </vt:vector>
  </TitlesOfParts>
  <Company>Toshiba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県高圧ガス保安協会</dc:creator>
  <cp:lastModifiedBy>20160610K</cp:lastModifiedBy>
  <cp:revision>9</cp:revision>
  <cp:lastPrinted>2003-01-23T04:42:00Z</cp:lastPrinted>
  <dcterms:created xsi:type="dcterms:W3CDTF">2015-04-06T04:12:00Z</dcterms:created>
  <dcterms:modified xsi:type="dcterms:W3CDTF">2017-12-22T01:50:00Z</dcterms:modified>
</cp:coreProperties>
</file>